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r>
        <w:rPr>
          <w:vertAlign w:val="superscript"/>
        </w:rPr>
        <w:t xml:space="preserve">1</w:t>
      </w:r>
    </w:p>
    <w:p>
      <w:pPr>
        <w:pStyle w:val="BodyText"/>
      </w:pPr>
      <w:r>
        <w:t xml:space="preserve">Krystal Bagnaschi</w:t>
      </w:r>
      <w:r>
        <w:rPr>
          <w:vertAlign w:val="superscript"/>
        </w:rPr>
        <w:t xml:space="preserve">1</w:t>
      </w:r>
    </w:p>
    <w:p>
      <w:pPr>
        <w:pStyle w:val="BodyText"/>
      </w:pPr>
      <w:r>
        <w:t xml:space="preserve">Iris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r>
        <w:t xml:space="preserve"> </w:t>
      </w:r>
      <w:r>
        <w:t xml:space="preserve">( Orcid ID : 0000-0001-8305-6672)</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For instance, one mechanism not represented in global C models is the impact of nuisance species – i.e., indigenous or non-indigenous species that, as a result of human influence, have much greater abundance in an ecosystem than they did historically, resulting in detrimental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w:t>
      </w:r>
      <w:r>
        <w:t xml:space="preserve"> </w:t>
      </w:r>
      <w:r>
        <w:t xml:space="preserve">(Herms &amp; McCullough, 2014; Lovett</w:t>
      </w:r>
      <w:r>
        <w:t xml:space="preserve"> </w:t>
      </w:r>
      <w:r>
        <w:rPr>
          <w:iCs/>
          <w:i/>
        </w:rPr>
        <w:t xml:space="preserve">et al.</w:t>
      </w:r>
      <w:r>
        <w:t xml:space="preserve">, 2016)</w:t>
      </w:r>
      <w:r>
        <w:t xml:space="preserve">.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from nuisance species</w:t>
      </w:r>
      <w:r>
        <w:t xml:space="preserve"> </w:t>
      </w:r>
      <w:r>
        <w:t xml:space="preserve">(Fei</w:t>
      </w:r>
      <w:r>
        <w:t xml:space="preserve"> </w:t>
      </w:r>
      <w:r>
        <w:rPr>
          <w:iCs/>
          <w:i/>
        </w:rPr>
        <w:t xml:space="preserve">et al.</w:t>
      </w:r>
      <w:r>
        <w:t xml:space="preserve">, 2019)</w:t>
      </w:r>
      <w:r>
        <w:t xml:space="preserve">, further increasing potentials for biomass loss and altered carbon cycle dynamics.</w:t>
      </w:r>
    </w:p>
    <w:p>
      <w:pPr>
        <w:pStyle w:val="BodyText"/>
      </w:pPr>
      <w:r>
        <w:t xml:space="preserve">Another category of nuisance species includes mammals whose population densities have been inflated due to human activities</w:t>
      </w:r>
      <w:r>
        <w:t xml:space="preserve"> </w:t>
      </w:r>
      <w:r>
        <w:t xml:space="preserve">(Clout &amp; Russell, 2008; Murphy</w:t>
      </w:r>
      <w:r>
        <w:t xml:space="preserve"> </w:t>
      </w:r>
      <w:r>
        <w:rPr>
          <w:iCs/>
          <w:i/>
        </w:rPr>
        <w:t xml:space="preserve">et al.</w:t>
      </w:r>
      <w:r>
        <w:t xml:space="preserve">, 2014)</w:t>
      </w:r>
      <w:r>
        <w:t xml:space="preserve">, including white-tailed deer (</w:t>
      </w:r>
      <w:r>
        <w:rPr>
          <w:iCs/>
          <w:i/>
        </w:rPr>
        <w:t xml:space="preserve">Odocoileus virginianus</w:t>
      </w:r>
      <w:r>
        <w:t xml:space="preserve">) in U.S. eastern deciduous forests.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 [cote_ecological_2004;</w:t>
      </w:r>
      <w:r>
        <w:t xml:space="preserve"> </w:t>
      </w:r>
      <w:r>
        <w:t xml:space="preserve">Rooney (2001)</w:t>
      </w:r>
      <w:r>
        <w:t xml:space="preserve">;</w:t>
      </w:r>
      <w:r>
        <w:t xml:space="preserve"> </w:t>
      </w:r>
      <w:r>
        <w:t xml:space="preserve">Brown</w:t>
      </w:r>
      <w:r>
        <w:t xml:space="preserve"> </w:t>
      </w:r>
      <w:r>
        <w:rPr>
          <w:iCs/>
          <w:i/>
        </w:rPr>
        <w:t xml:space="preserve">et al.</w:t>
      </w:r>
      <w:r>
        <w:t xml:space="preserve"> </w:t>
      </w:r>
      <w:r>
        <w:t xml:space="preserve">(2000)</w:t>
      </w:r>
      <w:r>
        <w:t xml:space="preserve">]. White-tailed deer preferentially browse on woody plant species in the seedling and sapling life stages, which reduces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species</w:t>
      </w:r>
      <w:r>
        <w:t xml:space="preserve"> </w:t>
      </w:r>
      <w:r>
        <w:t xml:space="preserve">(Bugalho</w:t>
      </w:r>
      <w:r>
        <w:t xml:space="preserve"> </w:t>
      </w:r>
      <w:r>
        <w:rPr>
          <w:iCs/>
          <w:i/>
        </w:rPr>
        <w:t xml:space="preserve">et al.</w:t>
      </w:r>
      <w:r>
        <w:t xml:space="preserve">, 2013)</w:t>
      </w:r>
      <w:r>
        <w:t xml:space="preserve"> </w:t>
      </w:r>
      <w:r>
        <w:t xml:space="preserve">while giving an advantage to species they find less palatable, including both indigenous (e.g., pawpaw,</w:t>
      </w:r>
      <w:r>
        <w:t xml:space="preserve"> </w:t>
      </w:r>
      <w:r>
        <w:rPr>
          <w:iCs/>
          <w:i/>
        </w:rPr>
        <w:t xml:space="preserve">Asimina tribola</w:t>
      </w:r>
      <w:r>
        <w:t xml:space="preserve">; spicebush,</w:t>
      </w:r>
      <w:r>
        <w:t xml:space="preserve"> </w:t>
      </w:r>
      <w:r>
        <w:rPr>
          <w:iCs/>
          <w:i/>
        </w:rPr>
        <w:t xml:space="preserve">Lindera benzoin</w:t>
      </w:r>
      <w:r>
        <w:t xml:space="preserve">) and non-indigenous (e.g., garlic mustard,</w:t>
      </w:r>
      <w:r>
        <w:t xml:space="preserve"> </w:t>
      </w:r>
      <w:r>
        <w:rPr>
          <w:iCs/>
          <w:i/>
        </w:rPr>
        <w:t xml:space="preserve">Alliaria petiolata</w:t>
      </w:r>
      <w:r>
        <w:t xml:space="preserve">) species (Averill</w:t>
      </w:r>
      <w:r>
        <w:t xml:space="preserve"> </w:t>
      </w:r>
      <w:r>
        <w:rPr>
          <w:iCs/>
          <w:i/>
        </w:rPr>
        <w:t xml:space="preserve">et al</w:t>
      </w:r>
      <w:r>
        <w:t xml:space="preserve"> </w:t>
      </w:r>
      <w:r>
        <w:t xml:space="preserve">2018).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 combination, increased canopy tree mortality and reduced canopy species recruitment in the understory is likely to have profound impacts on deciduous forests of eastern North America. When global change pressures (e.g., climate change, nuisance species) inhibit recruitment of canopy species, the stage is set for disturbances to push forest ecosystems over a tipping point, whereby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United States, forests face a severe regeneration debt, meaning that there are insufficient juveniles of canopy tree species to replace the mature cohort of those same species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 Acer spp., Fagus grandifolia) than historically dominated much of the region (e.g., Quercus spp., Carya spp.,</w:t>
      </w:r>
      <w:r>
        <w:t xml:space="preserve">(Nowacki &amp; Abrams, 2015)</w:t>
      </w:r>
      <w:r>
        <w:t xml:space="preserve">,Thompson</w:t>
      </w:r>
      <w:r>
        <w:t xml:space="preserve"> </w:t>
      </w:r>
      <w:r>
        <w:rPr>
          <w:iCs/>
          <w:i/>
        </w:rPr>
        <w:t xml:space="preserve">et al.</w:t>
      </w:r>
      <w:r>
        <w:t xml:space="preserve"> </w:t>
      </w:r>
      <w:r>
        <w:t xml:space="preserve">2013), but even these are often not present in sufficient abundance to replace the current canopy</w:t>
      </w:r>
      <w:r>
        <w:t xml:space="preserve"> </w:t>
      </w:r>
      <w:r>
        <w:t xml:space="preserve">(Miller &amp; McGill, 2019)</w:t>
      </w:r>
      <w:r>
        <w:t xml:space="preserve">.</w:t>
      </w:r>
    </w:p>
    <w:p>
      <w:pPr>
        <w:pStyle w:val="BodyText"/>
      </w:pPr>
      <w:r>
        <w:t xml:space="preserve">Understanding the combined effects of multiple nuisance species on forest ecosystem processes requires data on both the forest canopy and understory over an extended time. Here, we use 15 years of detailed tree census from a large forest dynamics plot the mid-Atlantic region of the eastern United States to understand the effects of non-indigenous pests and pathogens and white-tailed deer on the forest carbon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tree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[SI archives,</w:t>
      </w:r>
      <w:r>
        <w:t xml:space="preserve"> </w:t>
      </w:r>
      <w:r>
        <w:t xml:space="preserve">Bourg</w:t>
      </w:r>
      <w:r>
        <w:t xml:space="preserve"> </w:t>
      </w:r>
      <w:r>
        <w:rPr>
          <w:iCs/>
          <w:i/>
        </w:rPr>
        <w:t xml:space="preserve">et al.</w:t>
      </w:r>
      <w:r>
        <w:t xml:space="preserve"> </w:t>
      </w:r>
      <w:r>
        <w:t xml:space="preserve">(2013)</w:t>
      </w:r>
      <w:r>
        <w:t xml:space="preserve">.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portions of the plot, all upland forest (i.e., excluding low-lying areas around streams), with varying levels of exposure to non-indigenous insects and pathogens and white-tailed deer (Fig. 1). The first portion we define as“Low deer, low canopy vulnerability”: A 4-ha portion of upland forest in the SE quarter of the plot (Fig. 1a), fenced in 1990 and maintained with only occasional deer presence over the past 24 years. This portion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focal area is a</w:t>
      </w:r>
      <w:r>
        <w:t xml:space="preserve"> </w:t>
      </w:r>
      <w:r>
        <w:t xml:space="preserve">“</w:t>
      </w:r>
      <w:r>
        <w:t xml:space="preserve">high deer, low canopy vulnerability</w:t>
      </w:r>
      <w:r>
        <w:t xml:space="preserve">”</w:t>
      </w:r>
      <w:r>
        <w:t xml:space="preserve"> </w:t>
      </w:r>
      <w:r>
        <w:t xml:space="preserve">16.3 ha upland forest area outside the deer exclosure with low abundance of canopy species affected by non-indigenous pests and pathogens (Fig. 1b). The third focal portion of the plot has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 mcgregor_tree_2021. We defined vulnerability to non-indigenous insects and pathogens based on the abundance of canopy species affected by non-indigenous pests and pathogens at the time of plot establishment (2008). The following canopy species were identified as vulnerable: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Castanea dentata</w:t>
      </w:r>
      <w:r>
        <w:t xml:space="preserve">)</w:t>
      </w:r>
      <w:r>
        <w:t xml:space="preserve"> </w:t>
      </w:r>
      <w:r>
        <w:t xml:space="preserve">(Anderson-Teixeira</w:t>
      </w:r>
      <w:r>
        <w:t xml:space="preserve"> </w:t>
      </w:r>
      <w:r>
        <w:rPr>
          <w:iCs/>
          <w:i/>
        </w:rPr>
        <w:t xml:space="preserve">et al.</w:t>
      </w:r>
      <w:r>
        <w:t xml:space="preserve">, 2021)</w:t>
      </w:r>
      <w:r>
        <w:t xml:space="preserve">.</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(2013, 2018, 2023) since, comprising 15 years of forest dynamics data. In the last census, systematic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individual’s location was recorded in the Field Maps application using a digitized map of the plot (citation). In addition to the ForestGEO census, a tree health and mortality survey has been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crown living and intact, and visible indicators of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 (excluding stems &lt; 10 cm dbh).</w:t>
      </w:r>
    </w:p>
    <w:p>
      <w:pPr>
        <w:pStyle w:val="BodyText"/>
      </w:pPr>
      <w:r>
        <w:t xml:space="preserve">In addition to the estimation of AWR biomass flux, we analyzed the possible effects of nuisance species on recruitment based on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∆AGB of canopy trees within each 0.4 hectare quadrat between 2008 and 2023 and the AGB of canopy species in the understory in 2023.</w:t>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plot, living aboveground C stocks decreased over the 2018-2023 census interval (Figure 2), with AGB declining from 145.9 to 140.9 Mg C ha</w:t>
      </w:r>
      <w:r>
        <w:rPr>
          <w:vertAlign w:val="superscript"/>
        </w:rPr>
        <w:t xml:space="preserve">-1</w:t>
      </w:r>
      <w:r>
        <w:t xml:space="preserve">. Prior to this period, AGB had consistently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3a). In regions characterized by high deer density and high canopy vulnerability, AGB decreased significantly over the past two censuses: dropping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then to 77 Mg C ha</w:t>
      </w:r>
      <w:r>
        <w:rPr>
          <w:vertAlign w:val="superscript"/>
        </w:rPr>
        <w:t xml:space="preserve">-1</w:t>
      </w:r>
      <w:r>
        <w:t xml:space="preserve"> </w:t>
      </w:r>
      <w:r>
        <w:t xml:space="preserve">in 2023. Conversely, areas with low density of vulnerable canopy species experienced marginal losses of AGB between 2018 and 2023; both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2. Aboveground biomass at the SCBI ForestGEO plot since 2008 establishment. Values are shown for the plot as a whole and for regions differentiated by intensity of deer browsing and 2008 abundance of canopy tree species vulnerable to non-indigenous pests and pathogen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regions differentiated by intensity of deer browsing and 2008 abundance of canopy tree species vulnerable to non-indigenous pests and pathogens.</w:t>
      </w:r>
    </w:p>
    <w:p>
      <w:pPr>
        <w:pStyle w:val="BodyText"/>
      </w:pPr>
      <w:r>
        <w:t xml:space="preserve">The transition from net AGB accumulation to loss is primarily attributable to increased AWM across all plot regions (Figure 3b). Initially, AWM flux remained constant, maintaining rates of 1.5 and 1.4 Mg C ha</w:t>
      </w:r>
      <w:r>
        <w:rPr>
          <w:vertAlign w:val="superscript"/>
        </w:rPr>
        <w:t xml:space="preserve">-1</w:t>
      </w:r>
      <w:r>
        <w:t xml:space="preserve"> </w:t>
      </w:r>
      <w:r>
        <w:t xml:space="preserve">yr</w:t>
      </w:r>
      <w:r>
        <w:rPr>
          <w:vertAlign w:val="superscript"/>
        </w:rPr>
        <w:t xml:space="preserve">-1</w:t>
      </w:r>
      <w:r>
        <w:t xml:space="preserve"> </w:t>
      </w:r>
      <w:r>
        <w:t xml:space="preserve">in the first census intervals. However, in the most recent period, AWM increased significantly to 3 Mg C ha</w:t>
      </w:r>
      <w:r>
        <w:rPr>
          <w:vertAlign w:val="superscript"/>
        </w:rPr>
        <w:t xml:space="preserve">-1</w:t>
      </w:r>
      <w:r>
        <w:t xml:space="preserve"> </w:t>
      </w:r>
      <w:r>
        <w:t xml:space="preserve">yr</w:t>
      </w:r>
      <w:r>
        <w:rPr>
          <w:vertAlign w:val="superscript"/>
        </w:rPr>
        <w:t xml:space="preserve">-1</w:t>
      </w:r>
      <w:r>
        <w:t xml:space="preserve">. Despite initial uniformity in AWM across all plot regions, high canopy vulnerability areas experienced substantial increases in AWM across all censuses, resulting in a three-fold increase in AWM from the first interval. Low canopy vulnerability regions displayed smaller rises in AWM and only in the final survey period. Simultaneously, the rate of biomass accrual from woody growth decreased across the plot (Figure 3c), declining from 2.6 Mg C ha</w:t>
      </w:r>
      <w:r>
        <w:rPr>
          <w:vertAlign w:val="superscript"/>
        </w:rPr>
        <w:t xml:space="preserve">-1</w:t>
      </w:r>
      <w:r>
        <w:t xml:space="preserve"> </w:t>
      </w:r>
      <w:r>
        <w:t xml:space="preserve">yr</w:t>
      </w:r>
      <w:r>
        <w:rPr>
          <w:vertAlign w:val="superscript"/>
        </w:rPr>
        <w:t xml:space="preserve">-1</w:t>
      </w:r>
      <w:r>
        <w:t xml:space="preserve"> </w:t>
      </w:r>
      <w:r>
        <w:t xml:space="preserve">over the 2008-2013 period to 1.9 Mg C ha</w:t>
      </w:r>
      <w:r>
        <w:rPr>
          <w:vertAlign w:val="superscript"/>
        </w:rPr>
        <w:t xml:space="preserve">-1</w:t>
      </w:r>
      <w:r>
        <w:t xml:space="preserve"> </w:t>
      </w:r>
      <w:r>
        <w:t xml:space="preserve">yr</w:t>
      </w:r>
      <w:r>
        <w:rPr>
          <w:vertAlign w:val="superscript"/>
        </w:rPr>
        <w:t xml:space="preserve">-1</w:t>
      </w:r>
      <w:r>
        <w:t xml:space="preserve"> </w:t>
      </w:r>
      <w:r>
        <w:t xml:space="preserve">in the 2018-2023 interval. Areas with low canopy vulnerability consistently displayed the highest AWG (2.1 Mg C ha</w:t>
      </w:r>
      <w:r>
        <w:rPr>
          <w:vertAlign w:val="superscript"/>
        </w:rPr>
        <w:t xml:space="preserve">-1</w:t>
      </w:r>
      <w:r>
        <w:t xml:space="preserve"> </w:t>
      </w:r>
      <w:r>
        <w:t xml:space="preserve">yr</w:t>
      </w:r>
      <w:r>
        <w:rPr>
          <w:vertAlign w:val="superscript"/>
        </w:rPr>
        <w:t xml:space="preserve">-1</w:t>
      </w:r>
      <w:r>
        <w:t xml:space="preserve"> </w:t>
      </w:r>
      <w:r>
        <w:t xml:space="preserve">in the 2018-2023 period), while the AWG in the region with high canopy vulnerability was significantly lower (1.5Mg C ha</w:t>
      </w:r>
      <w:r>
        <w:rPr>
          <w:vertAlign w:val="superscript"/>
        </w:rPr>
        <w:t xml:space="preserve">-1</w:t>
      </w:r>
      <w:r>
        <w:t xml:space="preserve"> </w:t>
      </w:r>
      <w:r>
        <w:t xml:space="preserve">yr</w:t>
      </w:r>
      <w:r>
        <w:rPr>
          <w:vertAlign w:val="superscript"/>
        </w:rPr>
        <w:t xml:space="preserve">-1</w:t>
      </w:r>
      <w:r>
        <w:t xml:space="preserve">). Furthermore, AWG declined across all census intervals, even when AWM remained stable. Recruitment, constituting a minor fraction of net biomass change, showed no significant temporal trend (Figure 3d). AWR consistently remained lowest in areas characterized by high deer density and low canopy vulnerability, whereas it reached its highest levels in regions with high canopy vulnerability, recording rates of 0.01 Mg C ha</w:t>
      </w:r>
      <w:r>
        <w:rPr>
          <w:vertAlign w:val="superscript"/>
        </w:rPr>
        <w:t xml:space="preserve">-1</w:t>
      </w:r>
      <w:r>
        <w:t xml:space="preserve"> </w:t>
      </w:r>
      <w:r>
        <w:t xml:space="preserve">yr</w:t>
      </w:r>
      <w:r>
        <w:rPr>
          <w:vertAlign w:val="superscript"/>
        </w:rPr>
        <w:t xml:space="preserve">-1</w:t>
      </w:r>
      <w:r>
        <w:t xml:space="preserve"> </w:t>
      </w:r>
      <w:r>
        <w:t xml:space="preserve">and 0.025 Mg C ha</w:t>
      </w:r>
      <w:r>
        <w:rPr>
          <w:vertAlign w:val="superscript"/>
        </w:rPr>
        <w:t xml:space="preserve">-1</w:t>
      </w:r>
      <w:r>
        <w:t xml:space="preserve"> </w:t>
      </w:r>
      <w:r>
        <w:t xml:space="preserve">yr</w:t>
      </w:r>
      <w:r>
        <w:rPr>
          <w:vertAlign w:val="superscript"/>
        </w:rPr>
        <w:t xml:space="preserve">-1</w:t>
      </w:r>
      <w:r>
        <w:t xml:space="preserve">, respectively.</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regions differentiated by intensity of deer browsing and 2008 abundance of canopy tree species vulnerable to non-indigenous pests and pathogen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regions differentiated by intensity of deer browsing and 2008 abundance of canopy tree species vulnerable to non-indigenous pests and pathogens.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Over the 15-year study period, AWM increased throughout the plot yet AWM rates remained stable in a majority of individual species. The increasing trend of AWM was driven primarily by two species:</w:t>
      </w:r>
      <w:r>
        <w:t xml:space="preserve"> </w:t>
      </w:r>
      <w:r>
        <w:rPr>
          <w:iCs/>
          <w:i/>
        </w:rPr>
        <w:t xml:space="preserve">Fraxinus americana</w:t>
      </w:r>
      <w:r>
        <w:t xml:space="preserve"> </w:t>
      </w:r>
      <w:r>
        <w:t xml:space="preserve">and</w:t>
      </w:r>
      <w:r>
        <w:t xml:space="preserve"> </w:t>
      </w:r>
      <w:r>
        <w:rPr>
          <w:iCs/>
          <w:i/>
        </w:rPr>
        <w:t xml:space="preserve">Quercus velutina</w:t>
      </w:r>
      <w:r>
        <w:t xml:space="preserve"> </w:t>
      </w:r>
      <w:r>
        <w:t xml:space="preserve">(Figure 4).</w:t>
      </w:r>
      <w:r>
        <w:t xml:space="preserve"> </w:t>
      </w:r>
      <w:r>
        <w:rPr>
          <w:iCs/>
          <w:i/>
        </w:rPr>
        <w:t xml:space="preserve">Fraxinus americana</w:t>
      </w:r>
      <w:r>
        <w:t xml:space="preserve"> </w:t>
      </w:r>
      <w:r>
        <w:t xml:space="preserve">had the highest annual AWM of any species present on the plot, with an average flux of 1.6 Mg C ha</w:t>
      </w:r>
      <w:r>
        <w:rPr>
          <w:vertAlign w:val="superscript"/>
        </w:rPr>
        <w:t xml:space="preserve">-1</w:t>
      </w:r>
      <w:r>
        <w:t xml:space="preserve"> </w:t>
      </w:r>
      <w:r>
        <w:t xml:space="preserve">yr</w:t>
      </w:r>
      <w:r>
        <w:rPr>
          <w:vertAlign w:val="superscript"/>
        </w:rPr>
        <w:t xml:space="preserve">-1</w:t>
      </w:r>
      <w:r>
        <w:t xml:space="preserve"> </w:t>
      </w:r>
      <w:r>
        <w:t xml:space="preserve">and peaking at 5.3 Mg C ha</w:t>
      </w:r>
      <w:r>
        <w:rPr>
          <w:vertAlign w:val="superscript"/>
        </w:rPr>
        <w:t xml:space="preserve">-1</w:t>
      </w:r>
      <w:r>
        <w:t xml:space="preserve"> </w:t>
      </w:r>
      <w:r>
        <w:t xml:space="preserve">yr</w:t>
      </w:r>
      <w:r>
        <w:rPr>
          <w:vertAlign w:val="superscript"/>
        </w:rPr>
        <w:t xml:space="preserve">-1</w:t>
      </w:r>
      <w:r>
        <w:t xml:space="preserve"> </w:t>
      </w:r>
      <w:r>
        <w:t xml:space="preserve">in 2020.</w:t>
      </w:r>
      <w:r>
        <w:t xml:space="preserve"> </w:t>
      </w:r>
      <w:r>
        <w:rPr>
          <w:iCs/>
          <w:i/>
        </w:rPr>
        <w:t xml:space="preserve">Quercus velutina</w:t>
      </w:r>
      <w:r>
        <w:t xml:space="preserve"> </w:t>
      </w:r>
      <w:r>
        <w:t xml:space="preserve">experienced the second-highest rate of AWM at a rate of 1.0 Mg C ha</w:t>
      </w:r>
      <w:r>
        <w:rPr>
          <w:vertAlign w:val="superscript"/>
        </w:rPr>
        <w:t xml:space="preserve">-1</w:t>
      </w:r>
      <w:r>
        <w:t xml:space="preserve"> </w:t>
      </w:r>
      <w:r>
        <w:t xml:space="preserve">yr</w:t>
      </w:r>
      <w:r>
        <w:rPr>
          <w:vertAlign w:val="superscript"/>
        </w:rPr>
        <w:t xml:space="preserve">-1</w:t>
      </w:r>
      <w:r>
        <w:t xml:space="preserve">. The average annual AWM of these two species (2.5 Mg C ha</w:t>
      </w:r>
      <w:r>
        <w:rPr>
          <w:vertAlign w:val="superscript"/>
        </w:rPr>
        <w:t xml:space="preserve">-1</w:t>
      </w:r>
      <w:r>
        <w:t xml:space="preserve"> </w:t>
      </w:r>
      <w:r>
        <w:t xml:space="preserve">yr</w:t>
      </w:r>
      <w:r>
        <w:rPr>
          <w:vertAlign w:val="superscript"/>
        </w:rPr>
        <w:t xml:space="preserve">-1</w:t>
      </w:r>
      <w:r>
        <w:t xml:space="preserve">), was higher than that of all other species combined (1.8 Mg C ha</w:t>
      </w:r>
      <w:r>
        <w:rPr>
          <w:vertAlign w:val="superscript"/>
        </w:rPr>
        <w:t xml:space="preserve">-1</w:t>
      </w:r>
      <w:r>
        <w:t xml:space="preserve"> </w:t>
      </w:r>
      <w:r>
        <w:t xml:space="preserve">yr</w:t>
      </w:r>
      <w:r>
        <w:rPr>
          <w:vertAlign w:val="superscript"/>
        </w:rPr>
        <w:t xml:space="preserve">-1</w:t>
      </w:r>
      <w:r>
        <w:t xml:space="preserve">). Moreover, both species exhitibed significant increases in AWM since the start of the census, a trend also observed in three other species in the Oak genera—</w:t>
      </w:r>
      <w:r>
        <w:rPr>
          <w:iCs/>
          <w:i/>
        </w:rPr>
        <w:t xml:space="preserve">Quercus rubra</w:t>
      </w:r>
      <w:r>
        <w:t xml:space="preserve">,</w:t>
      </w:r>
      <w:r>
        <w:t xml:space="preserve"> </w:t>
      </w:r>
      <w:r>
        <w:rPr>
          <w:iCs/>
          <w:i/>
        </w:rPr>
        <w:t xml:space="preserve">Quercus prinus</w:t>
      </w:r>
      <w:r>
        <w:t xml:space="preserve"> </w:t>
      </w:r>
      <w:r>
        <w:t xml:space="preserve">and</w:t>
      </w:r>
      <w:r>
        <w:t xml:space="preserve"> </w:t>
      </w:r>
      <w:r>
        <w:rPr>
          <w:iCs/>
          <w:i/>
        </w:rPr>
        <w:t xml:space="preserve">Quercus alba</w:t>
      </w:r>
      <w:r>
        <w:t xml:space="preserve">.</w:t>
      </w:r>
    </w:p>
    <w:p>
      <w:pPr>
        <w:pStyle w:val="CaptionedFigure"/>
      </w:pPr>
      <w:r>
        <w:drawing>
          <wp:inline>
            <wp:extent cx="3810000" cy="2540000"/>
            <wp:effectExtent b="0" l="0" r="0" t="0"/>
            <wp:docPr descr="Figure 4. Annual woody mortality by species at the SCBI ForestGEO plot from 2008-2023. Shown are the six canopy taxa with highest average mortality rate in descending order and a category including all others. The census included all stems ≥ 10 cm in the most recent full census."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six canopy taxa with highest average mortality rate in descending order and a category including all others. The census included all stems ≥ 10 cm in the most recent full census.</w:t>
      </w:r>
    </w:p>
    <w:bookmarkEnd w:id="40"/>
    <w:bookmarkStart w:id="44" w:name="species-composition-of-recruitment"/>
    <w:p>
      <w:pPr>
        <w:pStyle w:val="Heading2"/>
      </w:pPr>
      <w:r>
        <w:rPr>
          <w:rStyle w:val="SectionNumber"/>
        </w:rPr>
        <w:t xml:space="preserve">3.2</w:t>
      </w:r>
      <w:r>
        <w:tab/>
      </w:r>
      <w:r>
        <w:t xml:space="preserve">Species composition of recruitment</w:t>
      </w:r>
    </w:p>
    <w:p>
      <w:pPr>
        <w:pStyle w:val="FirstParagraph"/>
      </w:pPr>
      <w:r>
        <w:t xml:space="preserve">We report strong mediating effects of deer density on the quantity and composition of woody stem recruitment (Figure 5). The region characterized by low deer density exhibited significantly higher annual recruitment of canopy taxa compared to those areas with higher deer density— specifically, 38.7 stems ha</w:t>
      </w:r>
      <w:r>
        <w:rPr>
          <w:vertAlign w:val="superscript"/>
        </w:rPr>
        <w:t xml:space="preserve">-1</w:t>
      </w:r>
      <w:r>
        <w:t xml:space="preserve"> </w:t>
      </w:r>
      <w:r>
        <w:t xml:space="preserve">yr</w:t>
      </w:r>
      <w:r>
        <w:rPr>
          <w:vertAlign w:val="superscript"/>
        </w:rPr>
        <w:t xml:space="preserve">-1</w:t>
      </w:r>
      <w:r>
        <w:t xml:space="preserve"> </w:t>
      </w:r>
      <w:r>
        <w:t xml:space="preserve">compared to 19 ha</w:t>
      </w:r>
      <w:r>
        <w:rPr>
          <w:vertAlign w:val="superscript"/>
        </w:rPr>
        <w:t xml:space="preserve">-1</w:t>
      </w:r>
      <w:r>
        <w:t xml:space="preserve"> </w:t>
      </w:r>
      <w:r>
        <w:t xml:space="preserve">yr</w:t>
      </w:r>
      <w:r>
        <w:rPr>
          <w:vertAlign w:val="superscript"/>
        </w:rPr>
        <w:t xml:space="preserve">-1</w:t>
      </w:r>
      <w:r>
        <w:t xml:space="preserve">. In particular, the recruitment rate of</w:t>
      </w:r>
      <w:r>
        <w:t xml:space="preserve"> </w:t>
      </w:r>
      <w:r>
        <w:rPr>
          <w:iCs/>
          <w:i/>
        </w:rPr>
        <w:t xml:space="preserve">Carya</w:t>
      </w:r>
      <w:r>
        <w:t xml:space="preserve"> </w:t>
      </w:r>
      <w:r>
        <w:t xml:space="preserve">spp. and</w:t>
      </w:r>
      <w:r>
        <w:t xml:space="preserve"> </w:t>
      </w:r>
      <w:r>
        <w:rPr>
          <w:iCs/>
          <w:i/>
        </w:rPr>
        <w:t xml:space="preserve">Quercus</w:t>
      </w:r>
      <w:r>
        <w:t xml:space="preserve"> </w:t>
      </w:r>
      <w:r>
        <w:t xml:space="preserve">spp., late-successional taxa characteristic of this forest’s expected climax state, was reduced by &gt; 50% in areas with high deer density. The prevalence of vulnerable canopy species in regions with low deer density showed no significant impact on the total quantity of canopy species recruitment into the understory. However, recruitment of</w:t>
      </w:r>
      <w:r>
        <w:t xml:space="preserve"> </w:t>
      </w:r>
      <w:r>
        <w:rPr>
          <w:iCs/>
          <w:i/>
        </w:rPr>
        <w:t xml:space="preserve">Fraxinus americana</w:t>
      </w:r>
      <w:r>
        <w:t xml:space="preserve"> </w:t>
      </w:r>
      <w:r>
        <w:t xml:space="preserve">and</w:t>
      </w:r>
      <w:r>
        <w:t xml:space="preserve"> </w:t>
      </w:r>
      <w:r>
        <w:rPr>
          <w:iCs/>
          <w:i/>
        </w:rPr>
        <w:t xml:space="preserve">Fagus grandifolia</w:t>
      </w:r>
      <w:r>
        <w:t xml:space="preserve"> </w:t>
      </w:r>
      <w:r>
        <w:t xml:space="preserve">was higher in areas with high canopy vulnerability, while recruitment of</w:t>
      </w:r>
      <w:r>
        <w:t xml:space="preserve"> </w:t>
      </w:r>
      <w:r>
        <w:rPr>
          <w:iCs/>
          <w:i/>
        </w:rPr>
        <w:t xml:space="preserve">Ulmus rubra</w:t>
      </w:r>
      <w:r>
        <w:t xml:space="preserve"> </w:t>
      </w:r>
      <w:r>
        <w:t xml:space="preserve">and</w:t>
      </w:r>
      <w:r>
        <w:t xml:space="preserve"> </w:t>
      </w:r>
      <w:r>
        <w:rPr>
          <w:iCs/>
          <w:i/>
        </w:rPr>
        <w:t xml:space="preserve">Carya</w:t>
      </w:r>
      <w:r>
        <w:t xml:space="preserve"> </w:t>
      </w:r>
      <w:r>
        <w:t xml:space="preserve">spp. was lower. Across all regions, the recruitment rate of understory taxa was nearly 10 times that of canopy taxa. Recruitment of</w:t>
      </w:r>
      <w:r>
        <w:t xml:space="preserve"> </w:t>
      </w:r>
      <w:r>
        <w:rPr>
          <w:iCs/>
          <w:i/>
        </w:rPr>
        <w:t xml:space="preserve">Lindera benzoin</w:t>
      </w:r>
      <w:r>
        <w:t xml:space="preserve"> </w:t>
      </w:r>
      <w:r>
        <w:t xml:space="preserve">was high across all regions (&gt; 100 stems ha</w:t>
      </w:r>
      <w:r>
        <w:rPr>
          <w:vertAlign w:val="superscript"/>
        </w:rPr>
        <w:t xml:space="preserve">-1</w:t>
      </w:r>
      <w:r>
        <w:t xml:space="preserve"> </w:t>
      </w:r>
      <w:r>
        <w:t xml:space="preserve">yr</w:t>
      </w:r>
      <w:r>
        <w:rPr>
          <w:vertAlign w:val="superscript"/>
        </w:rPr>
        <w:t xml:space="preserve">-1</w:t>
      </w:r>
      <w:r>
        <w:t xml:space="preserve">), and significantly increased in areas with high deer densities while peaking in areas that also had low canopy vulnerability.</w:t>
      </w:r>
      <w:r>
        <w:t xml:space="preserve"> </w:t>
      </w:r>
      <w:r>
        <w:rPr>
          <w:iCs/>
          <w:i/>
        </w:rPr>
        <w:t xml:space="preserve">Asimina triloba</w:t>
      </w:r>
      <w:r>
        <w:t xml:space="preserve"> </w:t>
      </w:r>
      <w:r>
        <w:t xml:space="preserve">recruitment was also lowest within the deer exclosure (18.6 stems ha</w:t>
      </w:r>
      <w:r>
        <w:rPr>
          <w:vertAlign w:val="superscript"/>
        </w:rPr>
        <w:t xml:space="preserve">-1</w:t>
      </w:r>
      <w:r>
        <w:t xml:space="preserve"> </w:t>
      </w:r>
      <w:r>
        <w:t xml:space="preserve">yr</w:t>
      </w:r>
      <w:r>
        <w:rPr>
          <w:vertAlign w:val="superscript"/>
        </w:rPr>
        <w:t xml:space="preserve">-1</w:t>
      </w:r>
      <w:r>
        <w:t xml:space="preserve">) but was highest in the region with high deer density and high canopy vulnerability (76.6 stems ha</w:t>
      </w:r>
      <w:r>
        <w:rPr>
          <w:vertAlign w:val="superscript"/>
        </w:rPr>
        <w:t xml:space="preserve">-1</w:t>
      </w:r>
      <w:r>
        <w:t xml:space="preserve"> </w:t>
      </w:r>
      <w:r>
        <w:t xml:space="preserve">yr</w:t>
      </w:r>
      <w:r>
        <w:rPr>
          <w:vertAlign w:val="superscript"/>
        </w:rPr>
        <w:t xml:space="preserve">-1</w:t>
      </w:r>
      <w:r>
        <w:t xml:space="preserve">).</w:t>
      </w:r>
    </w:p>
    <w:p>
      <w:pPr>
        <w:pStyle w:val="CaptionedFigure"/>
      </w:pPr>
      <w:r>
        <w:drawing>
          <wp:inline>
            <wp:extent cx="5943600" cy="3962400"/>
            <wp:effectExtent b="0" l="0" r="0" t="0"/>
            <wp:docPr descr="Figure 5. Average annual recruitment (2008-2023) of canopy and understory tree species at the SCBI ForestGEO plot across areas differentiated by intensity of deer browsing and 2008 abundance of canopy tree species vulnerable to non-indigenous pests and pathogens. Note that y-axes differ, with understory species recruitment &gt; 20x that of canopy species recruitment."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areas differentiated by intensity of deer browsing and 2008 abundance of canopy tree species vulnerable to non-indigenous pests and pathogens.</w:t>
      </w:r>
      <w:r>
        <w:t xml:space="preserve"> </w:t>
      </w:r>
      <w:r>
        <w:t xml:space="preserve">Note that y-axes differ, with understory species recruitment &gt; 20x that of canopy species recruitment.</w:t>
      </w:r>
    </w:p>
    <w:bookmarkEnd w:id="44"/>
    <w:bookmarkStart w:id="48" w:name="overlapping-biomass-loss-and-recruitment"/>
    <w:p>
      <w:pPr>
        <w:pStyle w:val="Heading2"/>
      </w:pPr>
      <w:r>
        <w:rPr>
          <w:rStyle w:val="SectionNumber"/>
        </w:rPr>
        <w:t xml:space="preserve">3.3</w:t>
      </w:r>
      <w:r>
        <w:tab/>
      </w:r>
      <w:r>
        <w:t xml:space="preserve">Overlapping biomass loss and recruitment</w:t>
      </w:r>
    </w:p>
    <w:p>
      <w:pPr>
        <w:pStyle w:val="FirstParagraph"/>
      </w:pPr>
      <w:r>
        <w:t xml:space="preserve">Our analyses reveal significant areas of decreasing AGB and suppressed regeneration of canopy species. Specifically, we found that 86% of the plot has either experienced -∆AGB from 2008-2023 or has a low AGB of canopy taxa in the understory. Only 21.7% of the plot exhibits an understory with high AGB of species capable of reaching the canopy. Within the region characterized by high deer density and high canopy vulnerability 84% of the area has lost canopy biomass, only 5.4% has an understory containing high AGB of canopy taxa, and 0% of area exhibits both. In contrast, 72.7% of the region with low deer density and low canopy vulnerability had a net increase of AGB. Furthermore, 70.7% of this same region has high AGB of canopy species in the understory, indicating a higher likelihood of future C sequestration.</w:t>
      </w:r>
    </w:p>
    <w:p>
      <w:pPr>
        <w:pStyle w:val="CaptionedFigure"/>
      </w:pPr>
      <w:r>
        <w:drawing>
          <wp:inline>
            <wp:extent cx="3810000" cy="2540000"/>
            <wp:effectExtent b="0" l="0" r="0" t="0"/>
            <wp:docPr descr="Figure 6. Characterizing the SCBI ForestGEO plot by changes in canopy biomass (2008-2023) and the biomass of canopy taxa in the understory in 2023. (a) Each .04 ha quadrat is classified by the ∆AGB of canopy trees over the 15-year study period and the AGB of canopy taxa in the understory in 2023. (b) The % area of each region that falls within each classification."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 Characterizing the SCBI ForestGEO plot by changes in canopy biomass (2008-2023) and the biomass of canopy taxa in the understory in 2023.</w:t>
      </w:r>
      <w:r>
        <w:t xml:space="preserve"> </w:t>
      </w:r>
      <w:r>
        <w:t xml:space="preserve">(a) Each .04 ha quadrat is classified by the ∆AGB of canopy trees over the 15-year study period and the AGB of canopy taxa in the understory in 2023. (b) The % area of each region that falls within each classification.</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Our investigation supports our hypotheses and demonstrates that the combination of -∆AGB and limited recruitment of canopy species in the understory is compromising the potential carbon sink of this forest, now and into the future. Decreases in AGB were largest in the regions of the plot with high canopy vulnerability to pests and pathogens. These regions also exhibited the lowest recruitment of canopy species in the understory. The region with low deer density had the highest amount of canopy species in the understory. Despite localized increases in AGB, notably in areas with low canopy vulnerability, on net, these increases are not outpacing AGB lost through a combination of increased AWM and decreasing AWG. Total ABG stocks in the plot were lower in 2023 than in 2013. Moreover, the low recruitment of canopy species in areas with high canopy vulnerability suggests that heavy deer browsing on canopy species may be exacerbated in areas with canopy openings due to nuisance-species driven mortality where fast-growing understory species that are resistant to deer can take advantage, further competing with canopy recruitment.</w:t>
      </w:r>
    </w:p>
    <w:p>
      <w:pPr>
        <w:pStyle w:val="BodyText"/>
      </w:pPr>
      <w:r>
        <w:t xml:space="preserve">We find that while nuisance species have had a large impact on AGB loss at our site (primarily through increased AWM of</w:t>
      </w:r>
      <w:r>
        <w:t xml:space="preserve"> </w:t>
      </w:r>
      <w:r>
        <w:rPr>
          <w:iCs/>
          <w:i/>
        </w:rPr>
        <w:t xml:space="preserve">Fraxinus americana</w:t>
      </w:r>
      <w:r>
        <w:t xml:space="preserve">; Anderson-Teixeira et al, 2021), mortality among oak species, which is not linked to a non-indigenous nuisance species, is substantial as well. Oak species in the region are generally found in older, even aged cohorts, which can contribute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Relying on the current understory as a proxy for future canopy presents challenges. White-tailed deer populations have varied greatly over the last century (citation). Moreover, some canopy species, including some</w:t>
      </w:r>
      <w:r>
        <w:t xml:space="preserve"> </w:t>
      </w:r>
      <w:r>
        <w:rPr>
          <w:iCs/>
          <w:i/>
        </w:rPr>
        <w:t xml:space="preserve">Quercus</w:t>
      </w:r>
      <w:r>
        <w:t xml:space="preserve"> </w:t>
      </w:r>
      <w:r>
        <w:t xml:space="preserve">spp., are hypothesized to recruit in synchronized pulse events (Koenig, 2021). A decline in deer population that reduces browsing pressure and coincides with a recruitment pulse, could allow for substantial, rapid regeneration of canopy species. However, current recruitment levels are below a rate which we would expect in maturing secondary forests. When overlaid with increasing mortality, regeneration may be insufficient to prevent extended periods without a closed canopy.</w:t>
      </w:r>
    </w:p>
    <w:p>
      <w:pPr>
        <w:pStyle w:val="BodyText"/>
      </w:pPr>
      <w:r>
        <w:t xml:space="preserve">Despite inherent limitations in extrapolating findings from a single site, we find robust evidence suggesting broader applicability. Mixed-hardwood forests, akin to our study site, are typical of the mid-Atlantic region. The persistently elevated deer populations documented at this site are reported throughout eastern US forests. Furthermore,the widespread occurrence of vulnerable species (</w:t>
      </w:r>
      <w:r>
        <w:rPr>
          <w:iCs/>
          <w:i/>
        </w:rPr>
        <w:t xml:space="preserve">e.g.</w:t>
      </w:r>
      <w:r>
        <w:t xml:space="preserve"> </w:t>
      </w:r>
      <w:r>
        <w:rPr>
          <w:iCs/>
          <w:i/>
        </w:rPr>
        <w:t xml:space="preserve">Fraxinus</w:t>
      </w:r>
      <w:r>
        <w:t xml:space="preserve"> </w:t>
      </w:r>
      <w:r>
        <w:t xml:space="preserve">spp.) and continued spread of non-indigenous nuisance species (</w:t>
      </w:r>
      <w:r>
        <w:rPr>
          <w:iCs/>
          <w:i/>
        </w:rPr>
        <w:t xml:space="preserve">e.g.</w:t>
      </w:r>
      <w:r>
        <w:t xml:space="preserve"> </w:t>
      </w:r>
      <w:r>
        <w:t xml:space="preserve">emerald ash borer, EAB) reinforces the relevance of our findings to the broader regional context. EAB consistently induces near-total mortality in</w:t>
      </w:r>
      <w:r>
        <w:t xml:space="preserve"> </w:t>
      </w:r>
      <w:r>
        <w:rPr>
          <w:iCs/>
          <w:i/>
        </w:rPr>
        <w:t xml:space="preserve">Fraxinus</w:t>
      </w:r>
      <w:r>
        <w:t xml:space="preserve"> </w:t>
      </w:r>
      <w:r>
        <w:t xml:space="preserve">spp. once infected, to such an extent that five species in North America (including</w:t>
      </w:r>
      <w:r>
        <w:t xml:space="preserve"> </w:t>
      </w:r>
      <w:r>
        <w:rPr>
          <w:iCs/>
          <w:i/>
        </w:rPr>
        <w:t xml:space="preserve">Fraxinus americana</w:t>
      </w:r>
      <w:r>
        <w:t xml:space="preserve">) are now critically endangered (Knight et al, 2013, IUCN Red list).</w:t>
      </w:r>
    </w:p>
    <w:p>
      <w:pPr>
        <w:pStyle w:val="BodyText"/>
      </w:pPr>
      <w:r>
        <w:t xml:space="preserve">Our results underscore the importance of accounting for nuisance species in higher-level models and understanding of temperate forest ecosystem processes. Nuisance species, driven by human introduction and perturbations to ecological equilibriums, interact with other anthropogenic changes to modify forest ecosystems. By increasing mortality, nuisance species have the capacity to alter short-term carbon dynamics, resulting in large carbon losses that would not be expected in models that exclude them. Through recruitment suppression, nuisance species can have long-term effects that may alter successional dynamics. They can delay recovery from disturbances, anthropogenic or natural, and even suppress regeneration into a closed-canopy for sustained periods. They also can decrease resilience to other pressures as pests and pathogens decrease canopy diversity by shrinking the number of possible canopy species.</w:t>
      </w:r>
    </w:p>
    <w:p>
      <w:pPr>
        <w:pStyle w:val="BodyText"/>
      </w:pPr>
      <w:r>
        <w:t xml:space="preserve">Nuisance species pose a serious threat to the health of temperate forests. But, this work highlights the potential of active management to protect them. Increased understory recruitment within the deer exclosure demonstrates that lowering deer populations can reduce browsing pressure. The direct linkage between non-indigenous pests and pathogens and decreased carbon storage demonstrates the need for natural climate solutions that focus on preserving the forests that we have instead of planting new ones. Opportunities exist to expand efforts that prevent further spread, increase the application of extant treatments, and continue research into natural immunity.</w:t>
      </w:r>
    </w:p>
    <w:bookmarkEnd w:id="50"/>
    <w:bookmarkStart w:id="51" w:name="future-directions"/>
    <w:p>
      <w:pPr>
        <w:pStyle w:val="Heading1"/>
      </w:pPr>
      <w:r>
        <w:rPr>
          <w:rStyle w:val="SectionNumber"/>
        </w:rPr>
        <w:t xml:space="preserve">5</w:t>
      </w:r>
      <w:r>
        <w:tab/>
      </w:r>
      <w:r>
        <w:t xml:space="preserve">Future Directions</w:t>
      </w:r>
    </w:p>
    <w:p>
      <w:pPr>
        <w:pStyle w:val="FirstParagraph"/>
      </w:pPr>
      <w:r>
        <w:t xml:space="preserve">Understanding interactions between global change drivers, an ongoing area of research, is critical. We would expect that trees unaffected by nuisance species (</w:t>
      </w:r>
      <w:r>
        <w:rPr>
          <w:iCs/>
          <w:i/>
        </w:rPr>
        <w:t xml:space="preserve">e.g.</w:t>
      </w:r>
      <w:r>
        <w:t xml:space="preserve"> </w:t>
      </w:r>
      <w:r>
        <w:rPr>
          <w:iCs/>
          <w:i/>
        </w:rPr>
        <w:t xml:space="preserve">Liriodendron tulipifera</w:t>
      </w:r>
      <w:r>
        <w:t xml:space="preserve">,</w:t>
      </w:r>
      <w:r>
        <w:t xml:space="preserve"> </w:t>
      </w:r>
      <w:r>
        <w:rPr>
          <w:iCs/>
          <w:i/>
        </w:rPr>
        <w:t xml:space="preserve">Quercus rubra</w:t>
      </w:r>
      <w:r>
        <w:t xml:space="preserve">) might see productivity increases as canopy gaps form and competition from nearby trees decreases. However, continuous decreases in AWG throughout the plot suggests that other mechanisms, including increasing maximum temperatures during the growing season (Dow et al 2022), may be hindering tree growth. Tree seedlings of many species, already decimated by deer browsing, are further threatened by rising maximum temperatures (McEwan et al 2011). Increasing mortality within</w:t>
      </w:r>
      <w:r>
        <w:t xml:space="preserve"> </w:t>
      </w:r>
      <w:r>
        <w:rPr>
          <w:iCs/>
          <w:i/>
        </w:rPr>
        <w:t xml:space="preserve">Quercus</w:t>
      </w:r>
      <w:r>
        <w:t xml:space="preserve"> </w:t>
      </w:r>
      <w:r>
        <w:t xml:space="preserve">species is another focal area of future research, as species within the</w:t>
      </w:r>
      <w:r>
        <w:t xml:space="preserve"> </w:t>
      </w:r>
      <w:r>
        <w:rPr>
          <w:iCs/>
          <w:i/>
        </w:rPr>
        <w:t xml:space="preserve">Quercus</w:t>
      </w:r>
      <w:r>
        <w:t xml:space="preserve"> </w:t>
      </w:r>
      <w:r>
        <w:t xml:space="preserve">genera constitute &gt; 33% of woody productivity at this site (McGregor et al 2020).</w:t>
      </w:r>
    </w:p>
    <w:p>
      <w:pPr>
        <w:pStyle w:val="BodyText"/>
      </w:pPr>
      <w:r>
        <w:t xml:space="preserve">Future research should build on our results by expanding these analyses to other temperate forest regions. While other areas will have different forest compositions and herbivory dynamics, increasing pressure from pests and pathogens is pervasive throughout temperate forests (Santini et al. 2012, Ayres and Lombardero 2018). Moreover, while not a large factor at this site, the spread of non-indigenous plant species can further threaten the regeneration of woody canopy species (Pile Knapp et al, 2023). Large forest dynamics sites (</w:t>
      </w:r>
      <w:r>
        <w:rPr>
          <w:iCs/>
          <w:i/>
        </w:rPr>
        <w:t xml:space="preserve">i.e.</w:t>
      </w:r>
      <w:r>
        <w:t xml:space="preserve"> </w:t>
      </w:r>
      <w:r>
        <w:t xml:space="preserve">other sites in the ForestGEO network) are well-suited to this research and can be leveraged to quantify how nuisance species compromise present and future forest carbon sequestration. Expanding the scale of these analyses may also facilitate the incorporation of nuisance species into global vegetation and carbon models. Future evaluations of temperate forest health and carbon storage must account for the substantial effects of nuisance species along with other global changes.</w:t>
      </w:r>
    </w:p>
    <w:bookmarkEnd w:id="51"/>
    <w:bookmarkStart w:id="52" w:name="Acknowledgements"/>
    <w:p>
      <w:pPr>
        <w:pStyle w:val="Heading1"/>
      </w:pPr>
      <w:r>
        <w:t xml:space="preserve">Acknowledgements</w:t>
      </w:r>
    </w:p>
    <w:p>
      <w:pPr>
        <w:numPr>
          <w:ilvl w:val="0"/>
          <w:numId w:val="1002"/>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137" w:name="references"/>
    <w:p>
      <w:pPr>
        <w:pStyle w:val="Heading1"/>
      </w:pPr>
      <w:r>
        <w:t xml:space="preserve">References</w:t>
      </w:r>
    </w:p>
    <w:bookmarkStart w:id="136" w:name="refs"/>
    <w:bookmarkStart w:id="57"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8">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9"/>
    <w:bookmarkStart w:id="61"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0">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61"/>
    <w:bookmarkStart w:id="63"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2">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3"/>
    <w:bookmarkStart w:id="65"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4">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5"/>
    <w:bookmarkStart w:id="67"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6">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7"/>
    <w:bookmarkStart w:id="69"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68">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69"/>
    <w:bookmarkStart w:id="71"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70">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1"/>
    <w:bookmarkStart w:id="73"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2">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3"/>
    <w:bookmarkStart w:id="75"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4">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5"/>
    <w:bookmarkStart w:id="77"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6">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7"/>
    <w:bookmarkStart w:id="79"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78">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79"/>
    <w:bookmarkStart w:id="81"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80">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1"/>
    <w:bookmarkStart w:id="83"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2">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3"/>
    <w:bookmarkStart w:id="85"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84">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85"/>
    <w:bookmarkStart w:id="86"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86"/>
    <w:bookmarkStart w:id="88"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87">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88"/>
    <w:bookmarkStart w:id="90" w:name="ref-fischer_disturbances_2013"/>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89">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90"/>
    <w:bookmarkStart w:id="92"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1">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2"/>
    <w:bookmarkStart w:id="94"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3">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94"/>
    <w:bookmarkStart w:id="96"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5">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96"/>
    <w:bookmarkStart w:id="98"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7">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98"/>
    <w:bookmarkStart w:id="100"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99">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00"/>
    <w:bookmarkStart w:id="102"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01">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02"/>
    <w:bookmarkStart w:id="104"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3">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04"/>
    <w:bookmarkStart w:id="106"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05">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06"/>
    <w:bookmarkStart w:id="108"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07">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08"/>
    <w:bookmarkStart w:id="110"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09">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10"/>
    <w:bookmarkStart w:id="112"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11">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12"/>
    <w:bookmarkStart w:id="113"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13"/>
    <w:bookmarkStart w:id="115"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14">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15"/>
    <w:bookmarkStart w:id="117"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16">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17"/>
    <w:bookmarkStart w:id="119"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18">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19"/>
    <w:bookmarkStart w:id="121"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20">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21"/>
    <w:bookmarkStart w:id="123"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22">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23"/>
    <w:bookmarkStart w:id="125"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24">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25"/>
    <w:bookmarkStart w:id="127"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26">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27"/>
    <w:bookmarkStart w:id="129"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28">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29"/>
    <w:bookmarkStart w:id="131"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30">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31"/>
    <w:bookmarkStart w:id="133"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32">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33"/>
    <w:bookmarkStart w:id="135"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34">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35"/>
    <w:bookmarkEnd w:id="136"/>
    <w:bookmarkEnd w:id="137"/>
    <w:bookmarkStart w:id="138" w:name="supporting-information"/>
    <w:p>
      <w:pPr>
        <w:pStyle w:val="Heading1"/>
      </w:pPr>
      <w:r>
        <w:rPr>
          <w:rStyle w:val="SectionNumber"/>
        </w:rPr>
        <w:t xml:space="preserve">6</w:t>
      </w:r>
      <w:r>
        <w:tab/>
      </w:r>
      <w:r>
        <w:t xml:space="preserve">Supporting Information</w:t>
      </w:r>
    </w:p>
    <w:bookmarkEnd w:id="138"/>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116"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2" Target="https://doi.org/10.1007/s10530-009-9626-x" TargetMode="External" /><Relationship Type="http://schemas.openxmlformats.org/officeDocument/2006/relationships/hyperlink" Id="rId118"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28"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4"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4"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6" Target="https://doi.org/10.1093/forestry/74.3.201" TargetMode="External" /><Relationship Type="http://schemas.openxmlformats.org/officeDocument/2006/relationships/hyperlink" Id="rId114"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0"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2"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0"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2" Target="https://doi.org/10.1007/s10530-009-9626-x" TargetMode="External" /><Relationship Type="http://schemas.openxmlformats.org/officeDocument/2006/relationships/hyperlink" Id="rId118"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28"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4"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4"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6" Target="https://doi.org/10.1093/forestry/74.3.201" TargetMode="External" /><Relationship Type="http://schemas.openxmlformats.org/officeDocument/2006/relationships/hyperlink" Id="rId114"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0"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2"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0"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2024-04-04T16:31:50Z</dcterms:created>
  <dcterms:modified xsi:type="dcterms:W3CDTF">2024-04-04T16:31:50Z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